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63D5" w:rsidRPr="00D76184" w:rsidRDefault="00C863D5" w:rsidP="00C863D5">
      <w:pPr>
        <w:pStyle w:val="Titre2"/>
        <w:rPr>
          <w:color w:val="ED7D31" w:themeColor="accent2"/>
          <w:lang w:eastAsia="en-US"/>
        </w:rPr>
      </w:pPr>
      <w:bookmarkStart w:id="0" w:name="_Toc5804647"/>
      <w:r w:rsidRPr="00D76184">
        <w:rPr>
          <w:color w:val="ED7D31" w:themeColor="accent2"/>
          <w:lang w:eastAsia="en-US"/>
        </w:rPr>
        <w:t>Comptages automatiques</w:t>
      </w:r>
      <w:r>
        <w:rPr>
          <w:color w:val="ED7D31" w:themeColor="accent2"/>
          <w:lang w:eastAsia="en-US"/>
        </w:rPr>
        <w:t> </w:t>
      </w:r>
      <w:r>
        <w:rPr>
          <w:color w:val="ED7D31" w:themeColor="accent2"/>
          <w:lang w:eastAsia="en-US"/>
        </w:rPr>
        <w:t xml:space="preserve">par tubes </w:t>
      </w:r>
      <w:r>
        <w:rPr>
          <w:color w:val="ED7D31" w:themeColor="accent2"/>
          <w:lang w:eastAsia="en-US"/>
        </w:rPr>
        <w:t>: sécurité et contrôle</w:t>
      </w:r>
      <w:bookmarkEnd w:id="0"/>
    </w:p>
    <w:p w:rsidR="00C863D5" w:rsidRPr="00A404CE" w:rsidRDefault="00C863D5" w:rsidP="00C863D5">
      <w:pPr>
        <w:pStyle w:val="Titre3"/>
        <w:ind w:left="709"/>
        <w:rPr>
          <w:u w:color="ED7D31" w:themeColor="accent2"/>
        </w:rPr>
      </w:pPr>
      <w:bookmarkStart w:id="1" w:name="_Toc487121898"/>
      <w:bookmarkStart w:id="2" w:name="_Toc508635894"/>
      <w:bookmarkStart w:id="3" w:name="_Toc5804648"/>
      <w:r w:rsidRPr="00A404CE">
        <w:rPr>
          <w:u w:color="ED7D31" w:themeColor="accent2"/>
        </w:rPr>
        <w:t>Aspects techniques</w:t>
      </w:r>
      <w:bookmarkEnd w:id="1"/>
      <w:bookmarkEnd w:id="2"/>
      <w:bookmarkEnd w:id="3"/>
    </w:p>
    <w:p w:rsidR="00C863D5" w:rsidRPr="006F3928" w:rsidRDefault="00C863D5" w:rsidP="00C863D5">
      <w:pPr>
        <w:ind w:left="0"/>
        <w:rPr>
          <w:szCs w:val="22"/>
        </w:rPr>
      </w:pPr>
      <w:r w:rsidRPr="006F3928">
        <w:rPr>
          <w:szCs w:val="22"/>
        </w:rPr>
        <w:t xml:space="preserve">Les tubes utilisés auront une section ronde de type 6/15 selon les routes à compter. </w:t>
      </w:r>
    </w:p>
    <w:p w:rsidR="00C863D5" w:rsidRDefault="00C863D5" w:rsidP="00C863D5">
      <w:pPr>
        <w:ind w:left="0"/>
        <w:rPr>
          <w:szCs w:val="22"/>
        </w:rPr>
      </w:pPr>
      <w:r w:rsidRPr="006F3928">
        <w:rPr>
          <w:szCs w:val="22"/>
        </w:rPr>
        <w:t xml:space="preserve">Les tubes seront implantés perpendiculairement aux voies de circulation, hors virage, hors passages piétons dans des zones de vitesse stabilisée et hors des zones d’accélérations et de freinages (feux tricolores). </w:t>
      </w:r>
    </w:p>
    <w:p w:rsidR="00C863D5" w:rsidRPr="006F3928" w:rsidRDefault="00C863D5" w:rsidP="00C863D5">
      <w:pPr>
        <w:ind w:left="0"/>
        <w:rPr>
          <w:szCs w:val="22"/>
        </w:rPr>
      </w:pPr>
      <w:r w:rsidRPr="006F3928">
        <w:rPr>
          <w:szCs w:val="22"/>
        </w:rPr>
        <w:t>Les fixations devront résister aux efforts d’arrachement et ne pas présenter de risques pour les usagers de la route en cas d’arrachement accidentel.</w:t>
      </w:r>
    </w:p>
    <w:p w:rsidR="00C863D5" w:rsidRPr="006F3928" w:rsidRDefault="00C863D5" w:rsidP="00C863D5">
      <w:pPr>
        <w:ind w:left="0"/>
        <w:rPr>
          <w:szCs w:val="22"/>
        </w:rPr>
      </w:pPr>
      <w:r w:rsidRPr="006F3928">
        <w:rPr>
          <w:szCs w:val="22"/>
        </w:rPr>
        <w:t>Les compteurs seront attachés à des éléments fixes de mobilier urbain et ne devront pas entraver le cheminement des piétons. En fonction des caractéristiques du site (stationnement longitudinal, présence de feux tricolores, nombre de voies) et des trafics estimés, nous pourrons préconiser différents types de pose afin de garantir la fiabilité du recueil.</w:t>
      </w:r>
    </w:p>
    <w:p w:rsidR="00C863D5" w:rsidRPr="00A404CE" w:rsidRDefault="00C863D5" w:rsidP="00C863D5">
      <w:pPr>
        <w:pStyle w:val="Titre3"/>
        <w:ind w:left="709"/>
        <w:rPr>
          <w:u w:color="ED7D31" w:themeColor="accent2"/>
        </w:rPr>
      </w:pPr>
      <w:bookmarkStart w:id="4" w:name="_Toc5804649"/>
      <w:r w:rsidRPr="00A404CE">
        <w:rPr>
          <w:u w:color="ED7D31" w:themeColor="accent2"/>
        </w:rPr>
        <w:t>Aspects sécurité</w:t>
      </w:r>
      <w:bookmarkEnd w:id="4"/>
    </w:p>
    <w:p w:rsidR="00C863D5" w:rsidRDefault="00C863D5" w:rsidP="00C863D5">
      <w:pPr>
        <w:ind w:left="0"/>
        <w:rPr>
          <w:szCs w:val="22"/>
        </w:rPr>
      </w:pPr>
      <w:r>
        <w:rPr>
          <w:szCs w:val="22"/>
        </w:rPr>
        <w:t>Les compteurs</w:t>
      </w:r>
      <w:r w:rsidRPr="006F3928">
        <w:rPr>
          <w:szCs w:val="22"/>
        </w:rPr>
        <w:t xml:space="preserve"> seront posés sous circulation. </w:t>
      </w:r>
    </w:p>
    <w:p w:rsidR="00C863D5" w:rsidRDefault="00C863D5" w:rsidP="00C863D5">
      <w:pPr>
        <w:ind w:left="0"/>
      </w:pPr>
      <w:r>
        <w:t>La signalisation temporaire nécessaire à la pose des compteurs sera assurée par nos soins</w:t>
      </w:r>
      <w:r>
        <w:t>.</w:t>
      </w:r>
      <w:r>
        <w:t xml:space="preserve"> Notre personnel devra systématiquement se conformer aux consignes du personnel de l’exploitant de la route où la mission a lieu (CD, DIR, Commune ou Privé) lors des interventions sur voies sous circulation.</w:t>
      </w:r>
    </w:p>
    <w:p w:rsidR="00C863D5" w:rsidRDefault="00C863D5" w:rsidP="00C863D5">
      <w:pPr>
        <w:ind w:left="0"/>
      </w:pPr>
      <w:r>
        <w:t xml:space="preserve">Une équipe de 2 techniciens équipés d’un gilet haute réflexion, procédera à la pose, visites et dépose des compteurs dans les règles de l’art et tout en respectant les consignes de sécurité relatives aux chantiers mobiles (installation de panneaux, utilisation du gyrophare et des cônes de balisage). Nos techniciens opèrent toujours en </w:t>
      </w:r>
      <w:r w:rsidRPr="009A1149">
        <w:t>équipe de 2 au minimum</w:t>
      </w:r>
      <w:r>
        <w:t xml:space="preserve">, par souci de sécurité. </w:t>
      </w:r>
    </w:p>
    <w:p w:rsidR="00C863D5" w:rsidRPr="00A404CE" w:rsidRDefault="00C863D5" w:rsidP="00C863D5">
      <w:pPr>
        <w:pStyle w:val="Titre3"/>
        <w:ind w:left="709"/>
        <w:rPr>
          <w:u w:color="ED7D31" w:themeColor="accent2"/>
        </w:rPr>
      </w:pPr>
      <w:bookmarkStart w:id="5" w:name="_Toc5804650"/>
      <w:r>
        <w:rPr>
          <w:u w:color="ED7D31" w:themeColor="accent2"/>
        </w:rPr>
        <w:t>Visites de</w:t>
      </w:r>
      <w:r w:rsidRPr="00A404CE">
        <w:rPr>
          <w:u w:color="ED7D31" w:themeColor="accent2"/>
        </w:rPr>
        <w:t xml:space="preserve"> de contrôle</w:t>
      </w:r>
      <w:bookmarkEnd w:id="5"/>
    </w:p>
    <w:p w:rsidR="00C863D5" w:rsidRDefault="00C863D5" w:rsidP="00C863D5">
      <w:pPr>
        <w:ind w:left="0"/>
      </w:pPr>
      <w:r>
        <w:t xml:space="preserve">Dans toutes les prestations de comptage que nous réalisons, nous prévoyons une visite tous les 2 jours afin de vérifier la tenue des compteurs automatiques. Toutes les mesures correctives (tube arrachés, clou déplanté, ...) seront effectuées lors de ces visites. </w:t>
      </w:r>
      <w:proofErr w:type="spellStart"/>
      <w:r>
        <w:t>Alyce</w:t>
      </w:r>
      <w:proofErr w:type="spellEnd"/>
      <w:r>
        <w:t xml:space="preserve"> </w:t>
      </w:r>
      <w:r w:rsidRPr="009A1149">
        <w:t>prendra toutes les dispositions pour s’assurer que la sécurité des usagers est respectée</w:t>
      </w:r>
      <w:r>
        <w:t>, afin de ne pas laisser les tubes arrachés sur la chaussée ou les dépendances.</w:t>
      </w:r>
    </w:p>
    <w:p w:rsidR="00F966A2" w:rsidRDefault="00F966A2"/>
    <w:p w:rsidR="00C863D5" w:rsidRDefault="00C863D5"/>
    <w:p w:rsidR="005C18D6" w:rsidRDefault="005C18D6"/>
    <w:p w:rsidR="005C18D6" w:rsidRDefault="005C18D6">
      <w:pPr>
        <w:widowControl/>
        <w:spacing w:after="160" w:line="259" w:lineRule="auto"/>
        <w:ind w:left="0"/>
        <w:jc w:val="left"/>
      </w:pPr>
      <w:r>
        <w:br/>
      </w:r>
    </w:p>
    <w:p w:rsidR="00C863D5" w:rsidRDefault="00C863D5" w:rsidP="00C863D5">
      <w:pPr>
        <w:pStyle w:val="Titre2"/>
        <w:rPr>
          <w:color w:val="ED7D31" w:themeColor="accent2"/>
          <w:lang w:eastAsia="en-US"/>
        </w:rPr>
      </w:pPr>
      <w:r w:rsidRPr="00D76184">
        <w:rPr>
          <w:color w:val="ED7D31" w:themeColor="accent2"/>
          <w:lang w:eastAsia="en-US"/>
        </w:rPr>
        <w:lastRenderedPageBreak/>
        <w:t>Comptages automatiques</w:t>
      </w:r>
      <w:r>
        <w:rPr>
          <w:color w:val="ED7D31" w:themeColor="accent2"/>
          <w:lang w:eastAsia="en-US"/>
        </w:rPr>
        <w:t> par</w:t>
      </w:r>
      <w:r>
        <w:rPr>
          <w:color w:val="ED7D31" w:themeColor="accent2"/>
          <w:lang w:eastAsia="en-US"/>
        </w:rPr>
        <w:t xml:space="preserve"> caméras</w:t>
      </w:r>
      <w:r>
        <w:rPr>
          <w:color w:val="ED7D31" w:themeColor="accent2"/>
          <w:lang w:eastAsia="en-US"/>
        </w:rPr>
        <w:t xml:space="preserve"> : sécurité et contrôle</w:t>
      </w:r>
    </w:p>
    <w:p w:rsidR="00C863D5" w:rsidRDefault="00C863D5" w:rsidP="00C863D5">
      <w:pPr>
        <w:ind w:left="0"/>
        <w:rPr>
          <w:lang w:eastAsia="en-US"/>
        </w:rPr>
      </w:pPr>
      <w:r>
        <w:rPr>
          <w:lang w:eastAsia="en-US"/>
        </w:rPr>
        <w:t>N</w:t>
      </w:r>
      <w:r>
        <w:rPr>
          <w:lang w:eastAsia="en-US"/>
        </w:rPr>
        <w:t>ous utilis</w:t>
      </w:r>
      <w:r>
        <w:rPr>
          <w:lang w:eastAsia="en-US"/>
        </w:rPr>
        <w:t>erons principalement</w:t>
      </w:r>
      <w:r>
        <w:rPr>
          <w:lang w:eastAsia="en-US"/>
        </w:rPr>
        <w:t xml:space="preserve"> de</w:t>
      </w:r>
      <w:r>
        <w:rPr>
          <w:lang w:eastAsia="en-US"/>
        </w:rPr>
        <w:t>s</w:t>
      </w:r>
      <w:r>
        <w:rPr>
          <w:lang w:eastAsia="en-US"/>
        </w:rPr>
        <w:t xml:space="preserve"> caméras de comptage pour le recensement des </w:t>
      </w:r>
      <w:r>
        <w:rPr>
          <w:b/>
          <w:lang w:eastAsia="en-US"/>
        </w:rPr>
        <w:t>modes actifs (piétons</w:t>
      </w:r>
      <w:r>
        <w:rPr>
          <w:b/>
          <w:lang w:eastAsia="en-US"/>
        </w:rPr>
        <w:t xml:space="preserve"> et/ou</w:t>
      </w:r>
      <w:r>
        <w:rPr>
          <w:b/>
          <w:lang w:eastAsia="en-US"/>
        </w:rPr>
        <w:t xml:space="preserve"> vélos)</w:t>
      </w:r>
      <w:r>
        <w:rPr>
          <w:lang w:eastAsia="en-US"/>
        </w:rPr>
        <w:t xml:space="preserve">. </w:t>
      </w:r>
      <w:proofErr w:type="spellStart"/>
      <w:r>
        <w:rPr>
          <w:lang w:eastAsia="en-US"/>
        </w:rPr>
        <w:t>Alyce</w:t>
      </w:r>
      <w:proofErr w:type="spellEnd"/>
      <w:r>
        <w:rPr>
          <w:lang w:eastAsia="en-US"/>
        </w:rPr>
        <w:t xml:space="preserve"> possède un stock de plus de </w:t>
      </w:r>
      <w:r>
        <w:rPr>
          <w:b/>
          <w:lang w:eastAsia="en-US"/>
        </w:rPr>
        <w:t>400</w:t>
      </w:r>
      <w:r>
        <w:rPr>
          <w:lang w:eastAsia="en-US"/>
        </w:rPr>
        <w:t xml:space="preserve"> caméras.</w:t>
      </w:r>
    </w:p>
    <w:p w:rsidR="00C863D5" w:rsidRDefault="00C863D5" w:rsidP="00C863D5">
      <w:pPr>
        <w:ind w:left="0"/>
        <w:rPr>
          <w:lang w:eastAsia="en-US"/>
        </w:rPr>
      </w:pPr>
      <w:proofErr w:type="spellStart"/>
      <w:r>
        <w:rPr>
          <w:lang w:eastAsia="en-US"/>
        </w:rPr>
        <w:t>Alyce</w:t>
      </w:r>
      <w:proofErr w:type="spellEnd"/>
      <w:r>
        <w:rPr>
          <w:lang w:eastAsia="en-US"/>
        </w:rPr>
        <w:t xml:space="preserve"> dispose par ailleurs de l’ensemble du matériel permettant d’installer les caméras dans des conditions optimales et de disposer de l’autonomie suffisante :</w:t>
      </w:r>
    </w:p>
    <w:p w:rsidR="00C863D5" w:rsidRDefault="00C863D5" w:rsidP="00C863D5">
      <w:pPr>
        <w:widowControl/>
        <w:numPr>
          <w:ilvl w:val="0"/>
          <w:numId w:val="3"/>
        </w:numPr>
        <w:rPr>
          <w:rFonts w:cs="Arial"/>
        </w:rPr>
      </w:pPr>
      <w:r>
        <w:rPr>
          <w:rFonts w:cs="Arial"/>
        </w:rPr>
        <w:t>Mâts télescopique solide et pratique à l’utilisation pouvant atteindre</w:t>
      </w:r>
      <w:r>
        <w:rPr>
          <w:rFonts w:cs="Arial"/>
        </w:rPr>
        <w:t xml:space="preserve"> 6</w:t>
      </w:r>
      <w:r>
        <w:rPr>
          <w:rFonts w:cs="Arial"/>
        </w:rPr>
        <w:t xml:space="preserve"> mètres de hauteur,</w:t>
      </w:r>
    </w:p>
    <w:p w:rsidR="00C863D5" w:rsidRDefault="00C863D5" w:rsidP="00C863D5">
      <w:pPr>
        <w:widowControl/>
        <w:numPr>
          <w:ilvl w:val="0"/>
          <w:numId w:val="3"/>
        </w:numPr>
        <w:rPr>
          <w:rFonts w:cs="Arial"/>
        </w:rPr>
      </w:pPr>
      <w:r>
        <w:rPr>
          <w:rFonts w:cs="Arial"/>
        </w:rPr>
        <w:t>Console de gestion permettant au technicien de visualiser à tout moment ce que la caméra est en train de filmer sur une console spécifique ou sur tablette afin de la positionner correctement,</w:t>
      </w:r>
    </w:p>
    <w:p w:rsidR="00C863D5" w:rsidRDefault="00C863D5" w:rsidP="00C863D5">
      <w:pPr>
        <w:ind w:left="0"/>
        <w:jc w:val="center"/>
        <w:rPr>
          <w:rFonts w:cs="Tahoma"/>
          <w:b/>
          <w:szCs w:val="22"/>
        </w:rPr>
      </w:pPr>
      <w:r>
        <w:rPr>
          <w:rFonts w:cs="Tahoma"/>
          <w:b/>
          <w:noProof/>
          <w:szCs w:val="22"/>
        </w:rPr>
        <w:drawing>
          <wp:inline distT="0" distB="0" distL="0" distR="0">
            <wp:extent cx="4978400" cy="15049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8400" cy="1504950"/>
                    </a:xfrm>
                    <a:prstGeom prst="rect">
                      <a:avLst/>
                    </a:prstGeom>
                    <a:noFill/>
                    <a:ln>
                      <a:noFill/>
                    </a:ln>
                  </pic:spPr>
                </pic:pic>
              </a:graphicData>
            </a:graphic>
          </wp:inline>
        </w:drawing>
      </w:r>
    </w:p>
    <w:p w:rsidR="00C863D5" w:rsidRDefault="00C863D5" w:rsidP="00C863D5">
      <w:pPr>
        <w:ind w:left="0"/>
        <w:jc w:val="center"/>
        <w:rPr>
          <w:rFonts w:cs="Tahoma"/>
          <w:b/>
          <w:szCs w:val="22"/>
        </w:rPr>
      </w:pPr>
      <w:proofErr w:type="gramStart"/>
      <w:r>
        <w:rPr>
          <w:rFonts w:cs="Tahoma"/>
          <w:b/>
          <w:szCs w:val="22"/>
        </w:rPr>
        <w:t>Ou</w:t>
      </w:r>
      <w:proofErr w:type="gramEnd"/>
    </w:p>
    <w:p w:rsidR="005C18D6" w:rsidRPr="005C18D6" w:rsidRDefault="005C18D6" w:rsidP="00C863D5">
      <w:pPr>
        <w:ind w:left="0"/>
        <w:jc w:val="center"/>
        <w:rPr>
          <w:rFonts w:cs="Tahoma"/>
          <w:bCs/>
          <w:szCs w:val="22"/>
        </w:rPr>
      </w:pPr>
      <w:r>
        <w:rPr>
          <w:rFonts w:cs="Tahoma"/>
          <w:bCs/>
          <w:szCs w:val="22"/>
        </w:rPr>
        <w:t xml:space="preserve">Caméras issues de notre cellule R&amp;D capable de tenir 10 jours </w:t>
      </w:r>
    </w:p>
    <w:p w:rsidR="00C863D5" w:rsidRDefault="00C863D5" w:rsidP="00C863D5">
      <w:pPr>
        <w:ind w:left="0"/>
        <w:jc w:val="center"/>
        <w:rPr>
          <w:rFonts w:cs="Tahoma"/>
          <w:b/>
          <w:szCs w:val="22"/>
        </w:rPr>
      </w:pPr>
      <w:r>
        <w:rPr>
          <w:noProof/>
        </w:rPr>
        <w:drawing>
          <wp:inline distT="0" distB="0" distL="0" distR="0" wp14:anchorId="06CBF8B4" wp14:editId="71DDD5B9">
            <wp:extent cx="2564020" cy="1555878"/>
            <wp:effectExtent l="0" t="0" r="8255"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76521" cy="1563464"/>
                    </a:xfrm>
                    <a:prstGeom prst="rect">
                      <a:avLst/>
                    </a:prstGeom>
                  </pic:spPr>
                </pic:pic>
              </a:graphicData>
            </a:graphic>
          </wp:inline>
        </w:drawing>
      </w:r>
    </w:p>
    <w:p w:rsidR="005C18D6" w:rsidRDefault="005C18D6" w:rsidP="00C863D5">
      <w:pPr>
        <w:ind w:left="0"/>
        <w:rPr>
          <w:rFonts w:cs="Tahoma"/>
          <w:szCs w:val="22"/>
        </w:rPr>
      </w:pPr>
    </w:p>
    <w:p w:rsidR="00C863D5" w:rsidRDefault="00C863D5" w:rsidP="00C863D5">
      <w:pPr>
        <w:ind w:left="0"/>
        <w:rPr>
          <w:rFonts w:cs="Tahoma"/>
          <w:szCs w:val="22"/>
        </w:rPr>
      </w:pPr>
      <w:r>
        <w:rPr>
          <w:rFonts w:cs="Tahoma"/>
          <w:szCs w:val="22"/>
        </w:rPr>
        <w:t xml:space="preserve">Le système est fixé de préférence à un poteau de feu tricolore ou à un poteau d’éclairage public. Ce poteau devra se trouver à moins de 3,6 m de l’angle de la chaussée. Le système ne sera pas installé sur </w:t>
      </w:r>
      <w:r>
        <w:rPr>
          <w:rFonts w:cs="Tahoma"/>
          <w:szCs w:val="22"/>
        </w:rPr>
        <w:t>les poteaux électriques</w:t>
      </w:r>
      <w:r>
        <w:rPr>
          <w:rFonts w:cs="Tahoma"/>
          <w:szCs w:val="22"/>
        </w:rPr>
        <w:t xml:space="preserve"> pour ne pas que la caméra ne touche des lignes électriques.</w:t>
      </w:r>
      <w:r w:rsidR="005C18D6">
        <w:rPr>
          <w:rFonts w:cs="Tahoma"/>
          <w:szCs w:val="22"/>
        </w:rPr>
        <w:t xml:space="preserve"> Il est fixé à 4m de haut. </w:t>
      </w:r>
    </w:p>
    <w:p w:rsidR="00C863D5" w:rsidRDefault="00C863D5" w:rsidP="00C863D5">
      <w:pPr>
        <w:ind w:left="0"/>
        <w:rPr>
          <w:rFonts w:cs="Tahoma"/>
          <w:szCs w:val="22"/>
        </w:rPr>
      </w:pPr>
      <w:r>
        <w:rPr>
          <w:rFonts w:cs="Tahoma"/>
          <w:szCs w:val="22"/>
        </w:rPr>
        <w:t xml:space="preserve">Le système est fixé à l’aide de 2 sangles </w:t>
      </w:r>
      <w:r>
        <w:rPr>
          <w:rFonts w:cs="Tahoma"/>
          <w:szCs w:val="22"/>
        </w:rPr>
        <w:t xml:space="preserve">ou de serflex </w:t>
      </w:r>
      <w:r>
        <w:rPr>
          <w:rFonts w:cs="Tahoma"/>
          <w:szCs w:val="22"/>
        </w:rPr>
        <w:t xml:space="preserve">autour du poteau. A la dépose du matériel, aucune marque ou dégradation ne sera présente sur le poteau. </w:t>
      </w:r>
    </w:p>
    <w:p w:rsidR="005C18D6" w:rsidRPr="00C863D5" w:rsidRDefault="005C18D6" w:rsidP="005C18D6">
      <w:pPr>
        <w:ind w:left="0"/>
        <w:rPr>
          <w:lang w:eastAsia="en-US"/>
        </w:rPr>
      </w:pPr>
      <w:r>
        <w:t>Une équipe de 2 techniciens équipés d’un gilet haute réflexion, procédera à la pose, visites et dépose des c</w:t>
      </w:r>
      <w:r>
        <w:t xml:space="preserve">améras </w:t>
      </w:r>
      <w:r>
        <w:t xml:space="preserve">dans les règles de l’art et tout en respectant les consignes de sécurité relatives aux chantiers mobiles (installation de panneaux, utilisation du gyrophare et des cônes de balisage). Nos techniciens opèrent toujours en </w:t>
      </w:r>
      <w:r w:rsidRPr="009A1149">
        <w:t>équipe de 2 au minimum</w:t>
      </w:r>
      <w:r>
        <w:t xml:space="preserve">, par souci de sécurité. </w:t>
      </w:r>
      <w:bookmarkStart w:id="6" w:name="_GoBack"/>
      <w:bookmarkEnd w:id="6"/>
    </w:p>
    <w:p w:rsidR="00C863D5" w:rsidRDefault="00C863D5"/>
    <w:sectPr w:rsidR="00C863D5">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0DA9" w:rsidRDefault="00B50DA9" w:rsidP="005C18D6">
      <w:pPr>
        <w:spacing w:after="0"/>
      </w:pPr>
      <w:r>
        <w:separator/>
      </w:r>
    </w:p>
  </w:endnote>
  <w:endnote w:type="continuationSeparator" w:id="0">
    <w:p w:rsidR="00B50DA9" w:rsidRDefault="00B50DA9" w:rsidP="005C18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0DA9" w:rsidRDefault="00B50DA9" w:rsidP="005C18D6">
      <w:pPr>
        <w:spacing w:after="0"/>
      </w:pPr>
      <w:r>
        <w:separator/>
      </w:r>
    </w:p>
  </w:footnote>
  <w:footnote w:type="continuationSeparator" w:id="0">
    <w:p w:rsidR="00B50DA9" w:rsidRDefault="00B50DA9" w:rsidP="005C18D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8D6" w:rsidRDefault="005C18D6" w:rsidP="005C18D6">
    <w:pPr>
      <w:pStyle w:val="En-tte"/>
      <w:ind w:left="-993"/>
    </w:pPr>
    <w:r>
      <w:rPr>
        <w:noProof/>
      </w:rPr>
      <w:drawing>
        <wp:inline distT="0" distB="0" distL="0" distR="0">
          <wp:extent cx="1380542" cy="567232"/>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yce-fond-clair.jpg"/>
                  <pic:cNvPicPr/>
                </pic:nvPicPr>
                <pic:blipFill>
                  <a:blip r:embed="rId1">
                    <a:extLst>
                      <a:ext uri="{28A0092B-C50C-407E-A947-70E740481C1C}">
                        <a14:useLocalDpi xmlns:a14="http://schemas.microsoft.com/office/drawing/2010/main" val="0"/>
                      </a:ext>
                    </a:extLst>
                  </a:blip>
                  <a:stretch>
                    <a:fillRect/>
                  </a:stretch>
                </pic:blipFill>
                <pic:spPr>
                  <a:xfrm>
                    <a:off x="0" y="0"/>
                    <a:ext cx="1409937" cy="5793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F003A"/>
    <w:multiLevelType w:val="hybridMultilevel"/>
    <w:tmpl w:val="66F678F6"/>
    <w:lvl w:ilvl="0" w:tplc="5C8AA412">
      <w:numFmt w:val="bullet"/>
      <w:lvlText w:val="-"/>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2A455AD0"/>
    <w:multiLevelType w:val="hybridMultilevel"/>
    <w:tmpl w:val="953CB762"/>
    <w:lvl w:ilvl="0" w:tplc="8A24F25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DC676F5"/>
    <w:multiLevelType w:val="multilevel"/>
    <w:tmpl w:val="00309812"/>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num w:numId="1">
    <w:abstractNumId w:val="2"/>
  </w:num>
  <w:num w:numId="2">
    <w:abstractNumId w:val="1"/>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3D5"/>
    <w:rsid w:val="005C18D6"/>
    <w:rsid w:val="00B50DA9"/>
    <w:rsid w:val="00C863D5"/>
    <w:rsid w:val="00F966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007E45"/>
  <w15:chartTrackingRefBased/>
  <w15:docId w15:val="{E1BAE83A-AE9F-483B-A1D3-74F212B42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 Normal"/>
    <w:qFormat/>
    <w:rsid w:val="00C863D5"/>
    <w:pPr>
      <w:widowControl w:val="0"/>
      <w:spacing w:after="120" w:line="240" w:lineRule="auto"/>
      <w:ind w:left="851"/>
      <w:jc w:val="both"/>
    </w:pPr>
    <w:rPr>
      <w:rFonts w:ascii="Tahoma" w:eastAsia="Times New Roman" w:hAnsi="Tahoma" w:cs="Times New Roman"/>
      <w:color w:val="44546A" w:themeColor="text2"/>
      <w:szCs w:val="20"/>
      <w:lang w:eastAsia="fr-FR"/>
    </w:rPr>
  </w:style>
  <w:style w:type="paragraph" w:styleId="Titre1">
    <w:name w:val="heading 1"/>
    <w:aliases w:val="A. Titre 1,TITRE 1,Titre 1 / I,Chapitre,Titre 1ceafi,Titre 11,CHAP1,1Methodo,STT Titre 1,TITRE1,Outline1,Hoofdstuk,Section Heading,L1,Chapter Hdg,chapter,1 ghost,g,Tomhead 1,Oscar Faber 1,chapter heading,Titre 1 re,T1,Titre chapitre,Main heading"/>
    <w:basedOn w:val="Normal"/>
    <w:next w:val="Normal"/>
    <w:link w:val="Titre1Car"/>
    <w:qFormat/>
    <w:rsid w:val="00C863D5"/>
    <w:pPr>
      <w:numPr>
        <w:numId w:val="1"/>
      </w:numPr>
      <w:spacing w:before="480" w:after="480"/>
      <w:jc w:val="left"/>
      <w:outlineLvl w:val="0"/>
    </w:pPr>
    <w:rPr>
      <w:rFonts w:eastAsiaTheme="majorEastAsia" w:cstheme="majorBidi"/>
      <w:b/>
      <w:bCs/>
      <w:smallCaps/>
      <w:sz w:val="36"/>
      <w:szCs w:val="36"/>
      <w:lang w:eastAsia="en-US"/>
    </w:rPr>
  </w:style>
  <w:style w:type="paragraph" w:styleId="Titre2">
    <w:name w:val="heading 2"/>
    <w:aliases w:val="A. Titre 2,sous-chapitre,Titre 2 * 0.0.,Titre 2*,Titre 2 / 1.,Titre 2 Annexe,retrait normal,Titre5,Titre1.1,2,(cntl 2),Sous-Titre,T2,Titre 22,Titre 221,Titre 222,Titre 223,Titre 224,Titre 2211,Titre 2221,Titre 225,Titre 2212,Titre 2222,CHAP2,H2"/>
    <w:basedOn w:val="Normal"/>
    <w:next w:val="Normal"/>
    <w:link w:val="Titre2Car"/>
    <w:qFormat/>
    <w:rsid w:val="00C863D5"/>
    <w:pPr>
      <w:numPr>
        <w:ilvl w:val="1"/>
        <w:numId w:val="1"/>
      </w:numPr>
      <w:spacing w:before="480" w:after="480"/>
      <w:jc w:val="left"/>
      <w:outlineLvl w:val="1"/>
    </w:pPr>
    <w:rPr>
      <w:b/>
      <w:color w:val="009545"/>
      <w:sz w:val="28"/>
      <w:szCs w:val="28"/>
    </w:rPr>
  </w:style>
  <w:style w:type="paragraph" w:styleId="Titre3">
    <w:name w:val="heading 3"/>
    <w:aliases w:val="A. Titre 3,retrait2,Section,Ss titre 1,Ss titre 2,Titre 3 / 1.1.,Titre 3 (1.1.1.),TITRE 3 (1.1.1.),Titre 3 Annexes,retrait21,§1.1.1,§1.1.1.,T3,Section1,Section2,Section11,InterTitre,CHAP3,Titre pad 3,Titre 3 Car3,Titre 3 Car Car1,t3,TITRE 3,3,H3"/>
    <w:basedOn w:val="Normal"/>
    <w:next w:val="Normal"/>
    <w:link w:val="Titre3Car"/>
    <w:qFormat/>
    <w:rsid w:val="00C863D5"/>
    <w:pPr>
      <w:keepNext/>
      <w:numPr>
        <w:ilvl w:val="2"/>
        <w:numId w:val="1"/>
      </w:numPr>
      <w:spacing w:before="480" w:after="480"/>
      <w:jc w:val="left"/>
      <w:outlineLvl w:val="2"/>
    </w:pPr>
    <w:rPr>
      <w:b/>
      <w:sz w:val="24"/>
      <w:u w:val="single" w:color="009545"/>
    </w:rPr>
  </w:style>
  <w:style w:type="paragraph" w:styleId="Titre4">
    <w:name w:val="heading 4"/>
    <w:aliases w:val="A. Titre 4,Sous-Section,Titre 4 Annexes,§1.1.1.1,§1.1.1.1.,Sous-Section1,Sous-Section2,Sous-Section11,Sous-InterTitre,CHAP4,T4,Titre pad 4,Titre 4 re,Sous-Sec,Titre Présentation BIPE,Titre 4 Car Car Car Car Car,Titre okla4,Gliederung4,CHAP41,H4"/>
    <w:basedOn w:val="Normal"/>
    <w:next w:val="Normal"/>
    <w:link w:val="Titre4Car"/>
    <w:qFormat/>
    <w:rsid w:val="00C863D5"/>
    <w:pPr>
      <w:numPr>
        <w:ilvl w:val="3"/>
        <w:numId w:val="1"/>
      </w:numPr>
      <w:spacing w:before="480" w:after="480"/>
      <w:jc w:val="left"/>
      <w:outlineLvl w:val="3"/>
    </w:pPr>
    <w:rPr>
      <w:b/>
      <w:i/>
    </w:rPr>
  </w:style>
  <w:style w:type="paragraph" w:styleId="Titre5">
    <w:name w:val="heading 5"/>
    <w:aliases w:val="H5,H51,H52,H53,H54,H511,H521,H531,H55,H512,H522,H532,H56,H513,H523,H533,H57,H514,H524,H534,H541,H5111,H5211,H5311,H551,H5121,H5221,H5321,H561,H5131,H5231,H5331,H58,H515,H525,H535,H542,H5112,H5212,H5312,H552,H5122,H5222,H5322,H562,H5132,H5232"/>
    <w:basedOn w:val="Normal"/>
    <w:next w:val="Normal"/>
    <w:link w:val="Titre5Car"/>
    <w:qFormat/>
    <w:rsid w:val="00C863D5"/>
    <w:pPr>
      <w:widowControl/>
      <w:numPr>
        <w:ilvl w:val="4"/>
        <w:numId w:val="1"/>
      </w:numPr>
      <w:spacing w:before="120" w:after="0"/>
      <w:jc w:val="left"/>
      <w:outlineLvl w:val="4"/>
    </w:pPr>
    <w:rPr>
      <w:rFonts w:ascii="Times New Roman" w:hAnsi="Times New Roman"/>
      <w:color w:val="auto"/>
      <w:szCs w:val="22"/>
    </w:rPr>
  </w:style>
  <w:style w:type="paragraph" w:styleId="Titre6">
    <w:name w:val="heading 6"/>
    <w:aliases w:val="T6,E6,T61,T62"/>
    <w:basedOn w:val="Normal"/>
    <w:next w:val="Normal"/>
    <w:link w:val="Titre6Car"/>
    <w:qFormat/>
    <w:rsid w:val="00C863D5"/>
    <w:pPr>
      <w:numPr>
        <w:ilvl w:val="5"/>
        <w:numId w:val="1"/>
      </w:numPr>
      <w:outlineLvl w:val="5"/>
    </w:pPr>
  </w:style>
  <w:style w:type="paragraph" w:styleId="Titre7">
    <w:name w:val="heading 7"/>
    <w:basedOn w:val="Normal"/>
    <w:next w:val="Normal"/>
    <w:link w:val="Titre7Car"/>
    <w:qFormat/>
    <w:rsid w:val="00C863D5"/>
    <w:pPr>
      <w:numPr>
        <w:ilvl w:val="6"/>
        <w:numId w:val="1"/>
      </w:numPr>
      <w:outlineLvl w:val="6"/>
    </w:pPr>
  </w:style>
  <w:style w:type="paragraph" w:styleId="Titre8">
    <w:name w:val="heading 8"/>
    <w:basedOn w:val="Normal"/>
    <w:next w:val="Normal"/>
    <w:link w:val="Titre8Car"/>
    <w:qFormat/>
    <w:rsid w:val="00C863D5"/>
    <w:pPr>
      <w:numPr>
        <w:ilvl w:val="7"/>
        <w:numId w:val="1"/>
      </w:numPr>
      <w:outlineLvl w:val="7"/>
    </w:pPr>
  </w:style>
  <w:style w:type="paragraph" w:styleId="Titre9">
    <w:name w:val="heading 9"/>
    <w:aliases w:val="Titre-romain"/>
    <w:basedOn w:val="Normal"/>
    <w:next w:val="Normal"/>
    <w:link w:val="Titre9Car"/>
    <w:qFormat/>
    <w:rsid w:val="00C863D5"/>
    <w:pPr>
      <w:numPr>
        <w:ilvl w:val="8"/>
        <w:numId w:val="1"/>
      </w:numPr>
      <w:outlineLvl w:val="8"/>
    </w:pPr>
    <w:rPr>
      <w:i/>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863D5"/>
    <w:rPr>
      <w:rFonts w:ascii="Tahoma" w:eastAsiaTheme="majorEastAsia" w:hAnsi="Tahoma" w:cstheme="majorBidi"/>
      <w:b/>
      <w:bCs/>
      <w:smallCaps/>
      <w:color w:val="44546A" w:themeColor="text2"/>
      <w:sz w:val="36"/>
      <w:szCs w:val="36"/>
    </w:rPr>
  </w:style>
  <w:style w:type="character" w:customStyle="1" w:styleId="Titre2Car">
    <w:name w:val="Titre 2 Car"/>
    <w:aliases w:val="A. Titre 2 Car,sous-chapitre Car,Titre 2 * 0.0. Car,Titre 2* Car,Titre 2 / 1. Car,Titre 2 Annexe Car,retrait normal Car,Titre5 Car,Titre1.1 Car,2 Car,(cntl 2) Car,Sous-Titre Car,T2 Car,Titre 22 Car,Titre 221 Car,Titre 222 Car,Titre 223 Car"/>
    <w:basedOn w:val="Policepardfaut"/>
    <w:link w:val="Titre2"/>
    <w:rsid w:val="00C863D5"/>
    <w:rPr>
      <w:rFonts w:ascii="Tahoma" w:eastAsia="Times New Roman" w:hAnsi="Tahoma" w:cs="Times New Roman"/>
      <w:b/>
      <w:color w:val="009545"/>
      <w:sz w:val="28"/>
      <w:szCs w:val="28"/>
      <w:lang w:eastAsia="fr-FR"/>
    </w:rPr>
  </w:style>
  <w:style w:type="character" w:customStyle="1" w:styleId="Titre3Car">
    <w:name w:val="Titre 3 Car"/>
    <w:aliases w:val="A. Titre 3 Car,retrait2 Car,Section Car,Ss titre 1 Car,Ss titre 2 Car,Titre 3 / 1.1. Car,Titre 3 (1.1.1.) Car,TITRE 3 (1.1.1.) Car,Titre 3 Annexes Car,retrait21 Car,§1.1.1 Car,§1.1.1. Car,T3 Car,Section1 Car,Section2 Car,Section11 Car,t3 Car"/>
    <w:basedOn w:val="Policepardfaut"/>
    <w:link w:val="Titre3"/>
    <w:rsid w:val="00C863D5"/>
    <w:rPr>
      <w:rFonts w:ascii="Tahoma" w:eastAsia="Times New Roman" w:hAnsi="Tahoma" w:cs="Times New Roman"/>
      <w:b/>
      <w:color w:val="44546A" w:themeColor="text2"/>
      <w:sz w:val="24"/>
      <w:szCs w:val="20"/>
      <w:u w:val="single" w:color="009545"/>
      <w:lang w:eastAsia="fr-FR"/>
    </w:rPr>
  </w:style>
  <w:style w:type="character" w:customStyle="1" w:styleId="Titre4Car">
    <w:name w:val="Titre 4 Car"/>
    <w:basedOn w:val="Policepardfaut"/>
    <w:link w:val="Titre4"/>
    <w:rsid w:val="00C863D5"/>
    <w:rPr>
      <w:rFonts w:ascii="Tahoma" w:eastAsia="Times New Roman" w:hAnsi="Tahoma" w:cs="Times New Roman"/>
      <w:b/>
      <w:i/>
      <w:color w:val="44546A" w:themeColor="text2"/>
      <w:szCs w:val="20"/>
      <w:lang w:eastAsia="fr-FR"/>
    </w:rPr>
  </w:style>
  <w:style w:type="character" w:customStyle="1" w:styleId="Titre5Car">
    <w:name w:val="Titre 5 Car"/>
    <w:basedOn w:val="Policepardfaut"/>
    <w:link w:val="Titre5"/>
    <w:rsid w:val="00C863D5"/>
    <w:rPr>
      <w:rFonts w:ascii="Times New Roman" w:eastAsia="Times New Roman" w:hAnsi="Times New Roman" w:cs="Times New Roman"/>
      <w:lang w:eastAsia="fr-FR"/>
    </w:rPr>
  </w:style>
  <w:style w:type="character" w:customStyle="1" w:styleId="Titre6Car">
    <w:name w:val="Titre 6 Car"/>
    <w:basedOn w:val="Policepardfaut"/>
    <w:link w:val="Titre6"/>
    <w:rsid w:val="00C863D5"/>
    <w:rPr>
      <w:rFonts w:ascii="Tahoma" w:eastAsia="Times New Roman" w:hAnsi="Tahoma" w:cs="Times New Roman"/>
      <w:color w:val="44546A" w:themeColor="text2"/>
      <w:szCs w:val="20"/>
      <w:lang w:eastAsia="fr-FR"/>
    </w:rPr>
  </w:style>
  <w:style w:type="character" w:customStyle="1" w:styleId="Titre7Car">
    <w:name w:val="Titre 7 Car"/>
    <w:basedOn w:val="Policepardfaut"/>
    <w:link w:val="Titre7"/>
    <w:rsid w:val="00C863D5"/>
    <w:rPr>
      <w:rFonts w:ascii="Tahoma" w:eastAsia="Times New Roman" w:hAnsi="Tahoma" w:cs="Times New Roman"/>
      <w:color w:val="44546A" w:themeColor="text2"/>
      <w:szCs w:val="20"/>
      <w:lang w:eastAsia="fr-FR"/>
    </w:rPr>
  </w:style>
  <w:style w:type="character" w:customStyle="1" w:styleId="Titre8Car">
    <w:name w:val="Titre 8 Car"/>
    <w:basedOn w:val="Policepardfaut"/>
    <w:link w:val="Titre8"/>
    <w:rsid w:val="00C863D5"/>
    <w:rPr>
      <w:rFonts w:ascii="Tahoma" w:eastAsia="Times New Roman" w:hAnsi="Tahoma" w:cs="Times New Roman"/>
      <w:color w:val="44546A" w:themeColor="text2"/>
      <w:szCs w:val="20"/>
      <w:lang w:eastAsia="fr-FR"/>
    </w:rPr>
  </w:style>
  <w:style w:type="character" w:customStyle="1" w:styleId="Titre9Car">
    <w:name w:val="Titre 9 Car"/>
    <w:basedOn w:val="Policepardfaut"/>
    <w:link w:val="Titre9"/>
    <w:rsid w:val="00C863D5"/>
    <w:rPr>
      <w:rFonts w:ascii="Tahoma" w:eastAsia="Times New Roman" w:hAnsi="Tahoma" w:cs="Times New Roman"/>
      <w:i/>
      <w:color w:val="44546A" w:themeColor="text2"/>
      <w:sz w:val="20"/>
      <w:szCs w:val="20"/>
      <w:lang w:eastAsia="fr-FR"/>
    </w:rPr>
  </w:style>
  <w:style w:type="paragraph" w:styleId="Paragraphedeliste">
    <w:name w:val="List Paragraph"/>
    <w:aliases w:val="liste 1,6 pt paragraphe carré,alinéa 1,List Paragraph1,List Paragraph,Paragraphe de liste1,corp de texte,Level 1 Puce,texte de base,Puce focus,Contact,Paragraphe - 02 -,PUCES,§norme,Liste à puce - Normal,lp1,Paragraphe puces"/>
    <w:basedOn w:val="Normal"/>
    <w:link w:val="ParagraphedelisteCar"/>
    <w:uiPriority w:val="1"/>
    <w:qFormat/>
    <w:rsid w:val="00C863D5"/>
    <w:pPr>
      <w:ind w:left="720"/>
      <w:contextualSpacing/>
    </w:pPr>
  </w:style>
  <w:style w:type="character" w:customStyle="1" w:styleId="ParagraphedelisteCar">
    <w:name w:val="Paragraphe de liste Car"/>
    <w:aliases w:val="liste 1 Car,6 pt paragraphe carré Car,alinéa 1 Car,List Paragraph1 Car,List Paragraph Car,Paragraphe de liste1 Car,corp de texte Car,Level 1 Puce Car,texte de base Car,Puce focus Car,Contact Car,Paragraphe - 02 - Car,PUCES Car"/>
    <w:link w:val="Paragraphedeliste"/>
    <w:uiPriority w:val="1"/>
    <w:rsid w:val="00C863D5"/>
    <w:rPr>
      <w:rFonts w:ascii="Tahoma" w:eastAsia="Times New Roman" w:hAnsi="Tahoma" w:cs="Times New Roman"/>
      <w:color w:val="44546A" w:themeColor="text2"/>
      <w:szCs w:val="20"/>
      <w:lang w:eastAsia="fr-FR"/>
    </w:rPr>
  </w:style>
  <w:style w:type="paragraph" w:styleId="En-tte">
    <w:name w:val="header"/>
    <w:basedOn w:val="Normal"/>
    <w:link w:val="En-tteCar"/>
    <w:uiPriority w:val="99"/>
    <w:unhideWhenUsed/>
    <w:rsid w:val="005C18D6"/>
    <w:pPr>
      <w:tabs>
        <w:tab w:val="center" w:pos="4536"/>
        <w:tab w:val="right" w:pos="9072"/>
      </w:tabs>
      <w:spacing w:after="0"/>
    </w:pPr>
  </w:style>
  <w:style w:type="character" w:customStyle="1" w:styleId="En-tteCar">
    <w:name w:val="En-tête Car"/>
    <w:basedOn w:val="Policepardfaut"/>
    <w:link w:val="En-tte"/>
    <w:uiPriority w:val="99"/>
    <w:rsid w:val="005C18D6"/>
    <w:rPr>
      <w:rFonts w:ascii="Tahoma" w:eastAsia="Times New Roman" w:hAnsi="Tahoma" w:cs="Times New Roman"/>
      <w:color w:val="44546A" w:themeColor="text2"/>
      <w:szCs w:val="20"/>
      <w:lang w:eastAsia="fr-FR"/>
    </w:rPr>
  </w:style>
  <w:style w:type="paragraph" w:styleId="Pieddepage">
    <w:name w:val="footer"/>
    <w:basedOn w:val="Normal"/>
    <w:link w:val="PieddepageCar"/>
    <w:uiPriority w:val="99"/>
    <w:unhideWhenUsed/>
    <w:rsid w:val="005C18D6"/>
    <w:pPr>
      <w:tabs>
        <w:tab w:val="center" w:pos="4536"/>
        <w:tab w:val="right" w:pos="9072"/>
      </w:tabs>
      <w:spacing w:after="0"/>
    </w:pPr>
  </w:style>
  <w:style w:type="character" w:customStyle="1" w:styleId="PieddepageCar">
    <w:name w:val="Pied de page Car"/>
    <w:basedOn w:val="Policepardfaut"/>
    <w:link w:val="Pieddepage"/>
    <w:uiPriority w:val="99"/>
    <w:rsid w:val="005C18D6"/>
    <w:rPr>
      <w:rFonts w:ascii="Tahoma" w:eastAsia="Times New Roman" w:hAnsi="Tahoma" w:cs="Times New Roman"/>
      <w:color w:val="44546A" w:themeColor="text2"/>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32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568</Words>
  <Characters>3124</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Marwan CHEHIMI</dc:creator>
  <cp:keywords/>
  <dc:description/>
  <cp:lastModifiedBy>Marwan CHEHIMI</cp:lastModifiedBy>
  <cp:revision>1</cp:revision>
  <dcterms:created xsi:type="dcterms:W3CDTF">2019-07-04T07:27:00Z</dcterms:created>
  <dcterms:modified xsi:type="dcterms:W3CDTF">2019-07-04T07:41:00Z</dcterms:modified>
</cp:coreProperties>
</file>